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141" w:rsidRDefault="00E80141" w:rsidP="00E80141">
      <w:pPr>
        <w:pStyle w:val="a5"/>
        <w:keepLines/>
        <w:tabs>
          <w:tab w:val="right" w:pos="10440"/>
          <w:tab w:val="right" w:pos="13323"/>
        </w:tabs>
        <w:spacing w:before="60" w:after="60"/>
        <w:rPr>
          <w:rFonts w:cs="Arial"/>
          <w:b w:val="0"/>
          <w:sz w:val="24"/>
          <w:szCs w:val="24"/>
          <w:lang w:eastAsia="zh-CN"/>
        </w:rPr>
      </w:pPr>
      <w:r>
        <w:rPr>
          <w:rFonts w:cs="Arial"/>
          <w:sz w:val="24"/>
          <w:szCs w:val="24"/>
        </w:rPr>
        <w:t>3GPP TSG-RAN WG4 Meeting #</w:t>
      </w:r>
      <w:r>
        <w:rPr>
          <w:rFonts w:cs="Arial"/>
        </w:rPr>
        <w:t xml:space="preserve"> </w:t>
      </w:r>
      <w:r>
        <w:rPr>
          <w:rFonts w:cs="Arial"/>
          <w:sz w:val="24"/>
          <w:szCs w:val="24"/>
        </w:rPr>
        <w:t>105</w:t>
      </w:r>
      <w:r>
        <w:rPr>
          <w:rFonts w:eastAsiaTheme="minorEastAsia" w:cs="Arial" w:hint="eastAsia"/>
          <w:sz w:val="24"/>
          <w:szCs w:val="24"/>
          <w:lang w:eastAsia="zh-CN"/>
        </w:rPr>
        <w:t xml:space="preserve">                                                                </w:t>
      </w:r>
      <w:r w:rsidR="0093722C" w:rsidRPr="0093722C">
        <w:rPr>
          <w:rFonts w:cs="Arial"/>
          <w:sz w:val="24"/>
          <w:szCs w:val="24"/>
        </w:rPr>
        <w:t>R4-2218482</w:t>
      </w:r>
    </w:p>
    <w:p w:rsidR="00E80141" w:rsidRDefault="00E80141" w:rsidP="00E80141">
      <w:pPr>
        <w:pStyle w:val="a5"/>
        <w:tabs>
          <w:tab w:val="right" w:pos="9781"/>
          <w:tab w:val="right" w:pos="13323"/>
        </w:tabs>
        <w:spacing w:before="60" w:after="60"/>
        <w:outlineLvl w:val="0"/>
        <w:rPr>
          <w:rFonts w:cs="Arial"/>
          <w:b w:val="0"/>
          <w:sz w:val="24"/>
          <w:szCs w:val="24"/>
          <w:lang w:eastAsia="zh-CN"/>
        </w:rPr>
      </w:pPr>
      <w:r>
        <w:rPr>
          <w:rFonts w:cs="Arial"/>
          <w:sz w:val="24"/>
          <w:szCs w:val="24"/>
          <w:lang w:eastAsia="zh-CN"/>
        </w:rPr>
        <w:t>Toulouse, France, November 14 – November 18, 2022</w:t>
      </w:r>
    </w:p>
    <w:p w:rsidR="00A13C4C" w:rsidRPr="00E80141"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77DC5">
        <w:rPr>
          <w:rFonts w:ascii="Arial" w:hAnsi="Arial" w:cs="Arial" w:hint="eastAsia"/>
          <w:b w:val="0"/>
        </w:rPr>
        <w:t>Discussion on t</w:t>
      </w:r>
      <w:r w:rsidR="00EC5838" w:rsidRPr="00EC5838">
        <w:rPr>
          <w:rFonts w:ascii="Arial" w:hAnsi="Arial" w:cs="Arial"/>
          <w:b w:val="0"/>
        </w:rPr>
        <w:t xml:space="preserve">he remaining open </w:t>
      </w:r>
      <w:r w:rsidR="00677DC5">
        <w:rPr>
          <w:rFonts w:ascii="Arial" w:hAnsi="Arial" w:cs="Arial" w:hint="eastAsia"/>
          <w:b w:val="0"/>
        </w:rPr>
        <w:t>assumptions</w:t>
      </w:r>
      <w:r w:rsidR="00EC5838" w:rsidRPr="00EC5838">
        <w:rPr>
          <w:rFonts w:ascii="Arial" w:hAnsi="Arial" w:cs="Arial"/>
          <w:b w:val="0"/>
        </w:rPr>
        <w:t xml:space="preserve"> for adjacent channel co-existence simulation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C5838" w:rsidRPr="00EC5838">
        <w:rPr>
          <w:rFonts w:ascii="Arial" w:hAnsi="Arial" w:cs="Arial"/>
          <w:b w:val="0"/>
        </w:rPr>
        <w:t>8.18.2.1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633F4E">
        <w:rPr>
          <w:rFonts w:ascii="Arial" w:hAnsi="Arial" w:cs="Arial" w:hint="eastAsia"/>
          <w:b w:val="0"/>
        </w:rPr>
        <w:t>Discussion</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CB34FD" w:rsidRPr="006106DD" w:rsidRDefault="00EC5838" w:rsidP="004C4C7A">
      <w:pPr>
        <w:spacing w:before="0" w:after="120"/>
        <w:jc w:val="left"/>
        <w:rPr>
          <w:color w:val="000000" w:themeColor="text1"/>
          <w:sz w:val="20"/>
          <w:lang w:val="en-US"/>
        </w:rPr>
      </w:pPr>
      <w:r>
        <w:rPr>
          <w:rFonts w:hint="eastAsia"/>
          <w:color w:val="000000" w:themeColor="text1"/>
          <w:sz w:val="20"/>
          <w:lang w:val="en-US"/>
        </w:rPr>
        <w:t>Most of the simulation assumptions were agreed in the last RAN4 meeting</w:t>
      </w:r>
      <w:r w:rsidR="00677DC5">
        <w:rPr>
          <w:rFonts w:hint="eastAsia"/>
          <w:color w:val="000000" w:themeColor="text1"/>
          <w:sz w:val="20"/>
          <w:lang w:val="en-US"/>
        </w:rPr>
        <w:t xml:space="preserve"> </w:t>
      </w:r>
      <w:r w:rsidR="00677DC5" w:rsidRPr="00DB34A7">
        <w:rPr>
          <w:rFonts w:hint="eastAsia"/>
        </w:rPr>
        <w:t>[1]</w:t>
      </w:r>
      <w:r w:rsidR="00595D4F">
        <w:rPr>
          <w:rFonts w:hint="eastAsia"/>
          <w:color w:val="000000" w:themeColor="text1"/>
          <w:sz w:val="20"/>
          <w:lang w:val="en-US"/>
        </w:rPr>
        <w:t>.</w:t>
      </w:r>
      <w:r w:rsidR="00677DC5">
        <w:rPr>
          <w:rFonts w:hint="eastAsia"/>
          <w:color w:val="000000" w:themeColor="text1"/>
          <w:sz w:val="20"/>
          <w:lang w:val="en-US"/>
        </w:rPr>
        <w:t xml:space="preserve"> This contribution provides our views on the remaining open assumptions.</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2E6525" w:rsidRDefault="002E6525" w:rsidP="002E6525">
      <w:pPr>
        <w:pStyle w:val="2ChapterXXStatementh22Header2l2Level2Headhea"/>
        <w:numPr>
          <w:ilvl w:val="1"/>
          <w:numId w:val="4"/>
        </w:numPr>
      </w:pPr>
      <w:r>
        <w:rPr>
          <w:rFonts w:hint="eastAsia"/>
        </w:rPr>
        <w:t xml:space="preserve">Handling of co-channel </w:t>
      </w:r>
      <w:r w:rsidRPr="002E6525">
        <w:t>inter-site inter-subband interference</w:t>
      </w:r>
    </w:p>
    <w:p w:rsidR="002E6525" w:rsidRDefault="002E6525" w:rsidP="002E6525">
      <w:pPr>
        <w:spacing w:before="0" w:after="120"/>
        <w:jc w:val="left"/>
      </w:pPr>
      <w:r>
        <w:rPr>
          <w:rFonts w:hint="eastAsia"/>
        </w:rPr>
        <w:t xml:space="preserve">The followings are the agreements for co-channel </w:t>
      </w:r>
      <w:r w:rsidRPr="002E6525">
        <w:t>inter-site inter-subband interference</w:t>
      </w:r>
      <w:r>
        <w:rPr>
          <w:rFonts w:hint="eastAsia"/>
        </w:rPr>
        <w:t xml:space="preserve"> in last RAN4 meeting,</w:t>
      </w:r>
    </w:p>
    <w:p w:rsidR="002E6525" w:rsidRDefault="002E6525" w:rsidP="002E6525">
      <w:pPr>
        <w:pStyle w:val="afa"/>
        <w:widowControl/>
        <w:numPr>
          <w:ilvl w:val="0"/>
          <w:numId w:val="21"/>
        </w:numPr>
        <w:spacing w:before="0" w:after="120" w:line="240" w:lineRule="auto"/>
        <w:ind w:firstLineChars="0"/>
        <w:jc w:val="left"/>
      </w:pPr>
      <w:r>
        <w:t>Include co-channel inter-site inter-subband interference into RAN4 simulation</w:t>
      </w:r>
    </w:p>
    <w:p w:rsidR="002E6525" w:rsidRDefault="002E6525" w:rsidP="002E6525">
      <w:pPr>
        <w:pStyle w:val="afa"/>
        <w:widowControl/>
        <w:numPr>
          <w:ilvl w:val="0"/>
          <w:numId w:val="22"/>
        </w:numPr>
        <w:spacing w:before="0" w:after="120" w:line="240" w:lineRule="auto"/>
        <w:ind w:firstLineChars="0"/>
        <w:jc w:val="left"/>
      </w:pPr>
      <w:r>
        <w:t xml:space="preserve">BS ACLR/ACS as starting point for simulation purpose only </w:t>
      </w:r>
    </w:p>
    <w:p w:rsidR="002E6525" w:rsidRDefault="002E6525" w:rsidP="002E6525">
      <w:pPr>
        <w:pStyle w:val="afa"/>
        <w:widowControl/>
        <w:numPr>
          <w:ilvl w:val="0"/>
          <w:numId w:val="22"/>
        </w:numPr>
        <w:spacing w:before="0" w:after="120" w:line="240" w:lineRule="auto"/>
        <w:ind w:firstLineChars="0"/>
        <w:jc w:val="left"/>
      </w:pPr>
      <w:r>
        <w:t>FFS on UE side</w:t>
      </w:r>
    </w:p>
    <w:p w:rsidR="00296898" w:rsidRDefault="002E6525" w:rsidP="002E6525">
      <w:pPr>
        <w:spacing w:before="0" w:after="120"/>
        <w:jc w:val="left"/>
      </w:pPr>
      <w:r>
        <w:rPr>
          <w:rFonts w:hint="eastAsia"/>
        </w:rPr>
        <w:t>There</w:t>
      </w:r>
      <w:r>
        <w:t>’</w:t>
      </w:r>
      <w:r>
        <w:rPr>
          <w:rFonts w:hint="eastAsia"/>
        </w:rPr>
        <w:t xml:space="preserve">re still some issues need to be discussed and decided. First issue is </w:t>
      </w:r>
      <w:r w:rsidR="00296898">
        <w:rPr>
          <w:rFonts w:hint="eastAsia"/>
        </w:rPr>
        <w:t xml:space="preserve">how to include the co-channel interference in the </w:t>
      </w:r>
      <w:r w:rsidR="00296898">
        <w:t>adjacent</w:t>
      </w:r>
      <w:r w:rsidR="00296898">
        <w:rPr>
          <w:rFonts w:hint="eastAsia"/>
        </w:rPr>
        <w:t xml:space="preserve"> channel co-existence simulation. For the cases of legacy TDD as the victim, the SBFD co-channel interference doesn</w:t>
      </w:r>
      <w:r w:rsidR="00296898">
        <w:t>’</w:t>
      </w:r>
      <w:r w:rsidR="00296898">
        <w:rPr>
          <w:rFonts w:hint="eastAsia"/>
        </w:rPr>
        <w:t xml:space="preserve">t have impact on the victim performance, so the co-channel </w:t>
      </w:r>
      <w:r w:rsidR="00296898">
        <w:t>interference</w:t>
      </w:r>
      <w:r w:rsidR="00296898">
        <w:rPr>
          <w:rFonts w:hint="eastAsia"/>
        </w:rPr>
        <w:t xml:space="preserve"> can be ignored in these cases.</w:t>
      </w:r>
    </w:p>
    <w:p w:rsidR="00296898" w:rsidRPr="00296898" w:rsidRDefault="00296898" w:rsidP="002E6525">
      <w:pPr>
        <w:spacing w:before="0" w:after="120"/>
        <w:jc w:val="left"/>
        <w:rPr>
          <w:b/>
        </w:rPr>
      </w:pPr>
      <w:r>
        <w:rPr>
          <w:rFonts w:hint="eastAsia"/>
          <w:b/>
        </w:rPr>
        <w:t xml:space="preserve">Observation </w:t>
      </w:r>
      <w:r w:rsidR="00060DA1">
        <w:rPr>
          <w:rFonts w:hint="eastAsia"/>
          <w:b/>
        </w:rPr>
        <w:t>1</w:t>
      </w:r>
      <w:r w:rsidRPr="00296898">
        <w:rPr>
          <w:rFonts w:hint="eastAsia"/>
          <w:b/>
        </w:rPr>
        <w:t>: SBFD co-channel interference doesn</w:t>
      </w:r>
      <w:r w:rsidRPr="00296898">
        <w:rPr>
          <w:b/>
        </w:rPr>
        <w:t>’</w:t>
      </w:r>
      <w:r w:rsidRPr="00296898">
        <w:rPr>
          <w:rFonts w:hint="eastAsia"/>
          <w:b/>
        </w:rPr>
        <w:t>t need to be added in the simulation when legacy TDD is the victim.</w:t>
      </w:r>
    </w:p>
    <w:p w:rsidR="00296898" w:rsidRDefault="00296898" w:rsidP="002E6525">
      <w:pPr>
        <w:spacing w:before="0" w:after="120"/>
        <w:jc w:val="left"/>
      </w:pPr>
      <w:r>
        <w:rPr>
          <w:rFonts w:hint="eastAsia"/>
        </w:rPr>
        <w:t xml:space="preserve">For the cases of the SBFD as the victim, the co-channel interference exists in both the baseline and the </w:t>
      </w:r>
      <w:r>
        <w:t>adjacent</w:t>
      </w:r>
      <w:r>
        <w:rPr>
          <w:rFonts w:hint="eastAsia"/>
        </w:rPr>
        <w:t xml:space="preserve"> co-existence </w:t>
      </w:r>
      <w:r>
        <w:t>scenarios</w:t>
      </w:r>
      <w:r>
        <w:rPr>
          <w:rFonts w:hint="eastAsia"/>
        </w:rPr>
        <w:t xml:space="preserve">. The relationship of the BS inter-subband ACLR/ACS and </w:t>
      </w:r>
      <w:r>
        <w:t>adjacent</w:t>
      </w:r>
      <w:r>
        <w:rPr>
          <w:rFonts w:hint="eastAsia"/>
        </w:rPr>
        <w:t xml:space="preserve"> channel ACLR/ACS should be clarified. There can be two understandings for this aspect. The </w:t>
      </w:r>
      <w:r w:rsidR="00060DA1">
        <w:rPr>
          <w:rFonts w:hint="eastAsia"/>
        </w:rPr>
        <w:t>first</w:t>
      </w:r>
      <w:r>
        <w:rPr>
          <w:rFonts w:hint="eastAsia"/>
        </w:rPr>
        <w:t xml:space="preserve"> understanding is that inter-subband ACLR/ACS is decoupled with the </w:t>
      </w:r>
      <w:r>
        <w:t>adjacent</w:t>
      </w:r>
      <w:r>
        <w:rPr>
          <w:rFonts w:hint="eastAsia"/>
        </w:rPr>
        <w:t xml:space="preserve"> channel ACLR/ACS. The problem of this understanding is that ACLR/ACS for the inter-subband and </w:t>
      </w:r>
      <w:r>
        <w:t>adjacent</w:t>
      </w:r>
      <w:r>
        <w:rPr>
          <w:rFonts w:hint="eastAsia"/>
        </w:rPr>
        <w:t xml:space="preserve"> channel ACLR/ACS are assumed to be different, then interband ACLR/ACS can be assumed to be fixed, </w:t>
      </w:r>
      <w:r>
        <w:t>adjacent</w:t>
      </w:r>
      <w:r>
        <w:rPr>
          <w:rFonts w:hint="eastAsia"/>
        </w:rPr>
        <w:t xml:space="preserve"> channel ACLR/ACS can be simulated to find the appropriate requirement. However, this assumption is not reasonable if looking at the following figure. The SBFD</w:t>
      </w:r>
      <w:r>
        <w:t>’</w:t>
      </w:r>
      <w:r>
        <w:rPr>
          <w:rFonts w:hint="eastAsia"/>
        </w:rPr>
        <w:t xml:space="preserve">s DL inter-band ACLR performance should equal </w:t>
      </w:r>
      <w:r>
        <w:t>adjacent</w:t>
      </w:r>
      <w:r>
        <w:rPr>
          <w:rFonts w:hint="eastAsia"/>
        </w:rPr>
        <w:t xml:space="preserve"> </w:t>
      </w:r>
      <w:r>
        <w:t>channel</w:t>
      </w:r>
      <w:r>
        <w:rPr>
          <w:rFonts w:hint="eastAsia"/>
        </w:rPr>
        <w:t xml:space="preserve"> ACLR. The same understanding applies to ACS.</w:t>
      </w:r>
    </w:p>
    <w:p w:rsidR="00296898" w:rsidRDefault="00296898" w:rsidP="00296898">
      <w:pPr>
        <w:spacing w:before="0" w:after="120"/>
        <w:jc w:val="center"/>
      </w:pPr>
      <w:r>
        <w:rPr>
          <w:sz w:val="20"/>
        </w:rPr>
        <w:object w:dxaOrig="2984" w:dyaOrig="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4pt;height:16.8pt" o:ole="">
            <v:imagedata r:id="rId9" o:title=""/>
          </v:shape>
          <o:OLEObject Type="Embed" ProgID="Visio.Drawing.11" ShapeID="_x0000_i1025" DrawAspect="Content" ObjectID="_1729375589" r:id="rId10"/>
        </w:object>
      </w:r>
    </w:p>
    <w:p w:rsidR="00296898" w:rsidRPr="00055414" w:rsidRDefault="00296898" w:rsidP="002E6525">
      <w:pPr>
        <w:spacing w:before="0" w:after="120"/>
        <w:jc w:val="left"/>
        <w:rPr>
          <w:b/>
        </w:rPr>
      </w:pPr>
      <w:r w:rsidRPr="00055414">
        <w:rPr>
          <w:rFonts w:hint="eastAsia"/>
          <w:b/>
        </w:rPr>
        <w:t>Observation</w:t>
      </w:r>
      <w:r w:rsidR="00060DA1" w:rsidRPr="00055414">
        <w:rPr>
          <w:rFonts w:hint="eastAsia"/>
          <w:b/>
        </w:rPr>
        <w:t xml:space="preserve"> 2</w:t>
      </w:r>
      <w:r w:rsidRPr="00055414">
        <w:rPr>
          <w:rFonts w:hint="eastAsia"/>
          <w:b/>
        </w:rPr>
        <w:t>: BS inter-</w:t>
      </w:r>
      <w:r w:rsidR="0019463B">
        <w:rPr>
          <w:rFonts w:hint="eastAsia"/>
          <w:b/>
        </w:rPr>
        <w:t>sub</w:t>
      </w:r>
      <w:r w:rsidRPr="00055414">
        <w:rPr>
          <w:rFonts w:hint="eastAsia"/>
          <w:b/>
        </w:rPr>
        <w:t xml:space="preserve">band ACLR/ACS performance should be assumed the same with </w:t>
      </w:r>
      <w:r w:rsidRPr="00055414">
        <w:rPr>
          <w:b/>
        </w:rPr>
        <w:t>adjacent</w:t>
      </w:r>
      <w:r w:rsidRPr="00055414">
        <w:rPr>
          <w:rFonts w:hint="eastAsia"/>
          <w:b/>
        </w:rPr>
        <w:t xml:space="preserve"> </w:t>
      </w:r>
      <w:r w:rsidR="00060DA1" w:rsidRPr="00055414">
        <w:rPr>
          <w:rFonts w:hint="eastAsia"/>
          <w:b/>
        </w:rPr>
        <w:t xml:space="preserve">channel ACLR/ACS in the </w:t>
      </w:r>
      <w:r w:rsidR="00060DA1" w:rsidRPr="00055414">
        <w:rPr>
          <w:b/>
        </w:rPr>
        <w:t>adjacent</w:t>
      </w:r>
      <w:r w:rsidR="00060DA1" w:rsidRPr="00055414">
        <w:rPr>
          <w:rFonts w:hint="eastAsia"/>
          <w:b/>
        </w:rPr>
        <w:t xml:space="preserve"> co-existence simulation if flat model is used.</w:t>
      </w:r>
    </w:p>
    <w:p w:rsidR="00296898" w:rsidRDefault="00060DA1" w:rsidP="002E6525">
      <w:pPr>
        <w:spacing w:before="0" w:after="120"/>
        <w:jc w:val="left"/>
      </w:pPr>
      <w:r>
        <w:rPr>
          <w:rFonts w:hint="eastAsia"/>
        </w:rPr>
        <w:t xml:space="preserve">Then if BS inter-subband ACLR/ACS performance equals </w:t>
      </w:r>
      <w:r>
        <w:t>adjacent</w:t>
      </w:r>
      <w:r>
        <w:rPr>
          <w:rFonts w:hint="eastAsia"/>
        </w:rPr>
        <w:t xml:space="preserve"> channel ACLR/ACS, and the simulation results will derive BS ACLR and ACS requirements. The understanding leads to the problem that co-channel co-existence and the adjacent channel co-existence are coupled. When </w:t>
      </w:r>
      <w:r>
        <w:t>adjacent</w:t>
      </w:r>
      <w:r>
        <w:rPr>
          <w:rFonts w:hint="eastAsia"/>
        </w:rPr>
        <w:t xml:space="preserve"> channel ACLR/ACS is changed, the baseline SBFD system is also changed. Furthermore, there</w:t>
      </w:r>
      <w:r>
        <w:t>’</w:t>
      </w:r>
      <w:r>
        <w:rPr>
          <w:rFonts w:hint="eastAsia"/>
        </w:rPr>
        <w:t>s no evaluation on the co-channel co-existence when ACLR/ACS is changed.</w:t>
      </w:r>
      <w:r w:rsidR="00055414">
        <w:rPr>
          <w:rFonts w:hint="eastAsia"/>
        </w:rPr>
        <w:t xml:space="preserve"> So decouple the co-channel interference and </w:t>
      </w:r>
      <w:r w:rsidR="00055414">
        <w:t>adjacent</w:t>
      </w:r>
      <w:r w:rsidR="00055414">
        <w:rPr>
          <w:rFonts w:hint="eastAsia"/>
        </w:rPr>
        <w:t xml:space="preserve"> channel co-existence </w:t>
      </w:r>
      <w:r w:rsidR="00055414">
        <w:t>simulation</w:t>
      </w:r>
      <w:r w:rsidR="00055414">
        <w:rPr>
          <w:rFonts w:hint="eastAsia"/>
        </w:rPr>
        <w:t xml:space="preserve"> is candidate solution for this issue.</w:t>
      </w:r>
    </w:p>
    <w:p w:rsidR="00055414" w:rsidRDefault="00B70734" w:rsidP="002E6525">
      <w:pPr>
        <w:spacing w:before="0" w:after="120"/>
        <w:jc w:val="left"/>
      </w:pPr>
      <w:r>
        <w:rPr>
          <w:rFonts w:hint="eastAsia"/>
        </w:rPr>
        <w:t>We have the above proposal because the if there</w:t>
      </w:r>
      <w:r>
        <w:t>’</w:t>
      </w:r>
      <w:r>
        <w:rPr>
          <w:rFonts w:hint="eastAsia"/>
        </w:rPr>
        <w:t xml:space="preserve">s internal interference in the baseline, the </w:t>
      </w:r>
    </w:p>
    <w:p w:rsidR="00B70734" w:rsidRDefault="00B70734" w:rsidP="002E6525">
      <w:pPr>
        <w:spacing w:before="0" w:after="120"/>
        <w:jc w:val="left"/>
      </w:pPr>
    </w:p>
    <w:p w:rsidR="00B70734" w:rsidRPr="00B70734" w:rsidRDefault="00296898" w:rsidP="002E6525">
      <w:pPr>
        <w:spacing w:before="0" w:after="120"/>
        <w:jc w:val="left"/>
        <w:rPr>
          <w:b/>
        </w:rPr>
      </w:pPr>
      <w:r w:rsidRPr="00B70734">
        <w:rPr>
          <w:rFonts w:hint="eastAsia"/>
          <w:b/>
        </w:rPr>
        <w:lastRenderedPageBreak/>
        <w:t>Observation</w:t>
      </w:r>
      <w:r w:rsidR="00D67249">
        <w:rPr>
          <w:rFonts w:hint="eastAsia"/>
          <w:b/>
        </w:rPr>
        <w:t xml:space="preserve"> 3</w:t>
      </w:r>
      <w:r w:rsidRPr="00B70734">
        <w:rPr>
          <w:rFonts w:hint="eastAsia"/>
          <w:b/>
        </w:rPr>
        <w:t xml:space="preserve">: </w:t>
      </w:r>
      <w:r w:rsidR="00B70734" w:rsidRPr="00B70734">
        <w:rPr>
          <w:rFonts w:hint="eastAsia"/>
          <w:b/>
        </w:rPr>
        <w:t xml:space="preserve">When the victim noise floor is raised the requirement for the </w:t>
      </w:r>
      <w:r w:rsidR="00B70734" w:rsidRPr="00B70734">
        <w:rPr>
          <w:b/>
        </w:rPr>
        <w:t>adjacent</w:t>
      </w:r>
      <w:r w:rsidR="00B70734" w:rsidRPr="00B70734">
        <w:rPr>
          <w:rFonts w:hint="eastAsia"/>
          <w:b/>
        </w:rPr>
        <w:t xml:space="preserve"> channel noise </w:t>
      </w:r>
      <w:r w:rsidR="00D67249">
        <w:rPr>
          <w:rFonts w:hint="eastAsia"/>
          <w:b/>
        </w:rPr>
        <w:t>is</w:t>
      </w:r>
      <w:r w:rsidR="00B70734" w:rsidRPr="00B70734">
        <w:rPr>
          <w:rFonts w:hint="eastAsia"/>
          <w:b/>
        </w:rPr>
        <w:t xml:space="preserve"> more relaxed.</w:t>
      </w:r>
    </w:p>
    <w:p w:rsidR="00296898" w:rsidRDefault="00B70734" w:rsidP="002E6525">
      <w:pPr>
        <w:spacing w:before="0" w:after="120"/>
        <w:jc w:val="left"/>
      </w:pPr>
      <w:r>
        <w:rPr>
          <w:rFonts w:hint="eastAsia"/>
        </w:rPr>
        <w:t xml:space="preserve">So assuming no </w:t>
      </w:r>
      <w:r w:rsidRPr="00B70734">
        <w:rPr>
          <w:rFonts w:hint="eastAsia"/>
        </w:rPr>
        <w:t xml:space="preserve">co-channel inter-site inter-subband interference for the </w:t>
      </w:r>
      <w:r w:rsidRPr="00B70734">
        <w:t>adjacent</w:t>
      </w:r>
      <w:r w:rsidRPr="00B70734">
        <w:rPr>
          <w:rFonts w:hint="eastAsia"/>
        </w:rPr>
        <w:t xml:space="preserve"> </w:t>
      </w:r>
      <w:r>
        <w:rPr>
          <w:rFonts w:hint="eastAsia"/>
        </w:rPr>
        <w:t>channel co-existence simulation can be a candidate for this issue. How to handle the co-channel co-existence in RAN1 and RAN4 can be discussed further.</w:t>
      </w:r>
    </w:p>
    <w:p w:rsidR="00296898" w:rsidRPr="00B70734" w:rsidRDefault="00B70734" w:rsidP="002E6525">
      <w:pPr>
        <w:spacing w:before="0" w:after="120"/>
        <w:jc w:val="left"/>
      </w:pPr>
      <w:r w:rsidRPr="00055414">
        <w:rPr>
          <w:rFonts w:hint="eastAsia"/>
          <w:b/>
        </w:rPr>
        <w:t>Proposal</w:t>
      </w:r>
      <w:r w:rsidR="00D67249">
        <w:rPr>
          <w:rFonts w:hint="eastAsia"/>
          <w:b/>
        </w:rPr>
        <w:t xml:space="preserve"> 4</w:t>
      </w:r>
      <w:r w:rsidRPr="00055414">
        <w:rPr>
          <w:rFonts w:hint="eastAsia"/>
          <w:b/>
        </w:rPr>
        <w:t xml:space="preserve">: Decouple the co-channel inter-site inter-subband interference with </w:t>
      </w:r>
      <w:r w:rsidRPr="00055414">
        <w:rPr>
          <w:b/>
        </w:rPr>
        <w:t>adjacent</w:t>
      </w:r>
      <w:r w:rsidRPr="00055414">
        <w:rPr>
          <w:rFonts w:hint="eastAsia"/>
          <w:b/>
        </w:rPr>
        <w:t xml:space="preserve"> channel co-existence </w:t>
      </w:r>
      <w:r w:rsidRPr="00055414">
        <w:rPr>
          <w:b/>
        </w:rPr>
        <w:t>simulation</w:t>
      </w:r>
      <w:r w:rsidRPr="00055414">
        <w:rPr>
          <w:rFonts w:hint="eastAsia"/>
          <w:b/>
        </w:rPr>
        <w:t xml:space="preserve">, i.e. no co-channel inter-site inter-subband interference is included in the </w:t>
      </w:r>
      <w:r w:rsidRPr="00055414">
        <w:rPr>
          <w:b/>
        </w:rPr>
        <w:t>adjacent</w:t>
      </w:r>
      <w:r w:rsidRPr="00055414">
        <w:rPr>
          <w:rFonts w:hint="eastAsia"/>
          <w:b/>
        </w:rPr>
        <w:t xml:space="preserve"> channel co-existence simulation.</w:t>
      </w:r>
    </w:p>
    <w:p w:rsidR="00D94B9F" w:rsidRDefault="00677DC5" w:rsidP="002E6525">
      <w:pPr>
        <w:pStyle w:val="2ChapterXXStatementh22Header2l2Level2Headhea"/>
        <w:numPr>
          <w:ilvl w:val="1"/>
          <w:numId w:val="4"/>
        </w:numPr>
      </w:pPr>
      <w:r>
        <w:rPr>
          <w:rFonts w:hint="eastAsia"/>
        </w:rPr>
        <w:t xml:space="preserve">Remaining simulation </w:t>
      </w:r>
      <w:r>
        <w:t>assumptions</w:t>
      </w:r>
    </w:p>
    <w:p w:rsidR="00677DC5" w:rsidRPr="00677DC5" w:rsidRDefault="00871E93" w:rsidP="00677DC5">
      <w:pPr>
        <w:spacing w:before="0" w:after="120"/>
        <w:jc w:val="left"/>
        <w:rPr>
          <w:color w:val="000000" w:themeColor="text1"/>
          <w:sz w:val="20"/>
          <w:lang w:val="en-US"/>
        </w:rPr>
      </w:pPr>
      <w:r>
        <w:rPr>
          <w:rFonts w:hint="eastAsia"/>
          <w:color w:val="000000" w:themeColor="text1"/>
          <w:sz w:val="20"/>
          <w:lang w:val="en-US"/>
        </w:rPr>
        <w:t>The</w:t>
      </w:r>
      <w:r w:rsidR="00B70734">
        <w:rPr>
          <w:rFonts w:hint="eastAsia"/>
          <w:color w:val="000000" w:themeColor="text1"/>
          <w:sz w:val="20"/>
          <w:lang w:val="en-US"/>
        </w:rPr>
        <w:t>re</w:t>
      </w:r>
      <w:r w:rsidR="00B70734">
        <w:rPr>
          <w:color w:val="000000" w:themeColor="text1"/>
          <w:sz w:val="20"/>
          <w:lang w:val="en-US"/>
        </w:rPr>
        <w:t>’</w:t>
      </w:r>
      <w:r w:rsidR="00B70734">
        <w:rPr>
          <w:rFonts w:hint="eastAsia"/>
          <w:color w:val="000000" w:themeColor="text1"/>
          <w:sz w:val="20"/>
          <w:lang w:val="en-US"/>
        </w:rPr>
        <w:t xml:space="preserve">re also many other </w:t>
      </w:r>
      <w:r>
        <w:rPr>
          <w:rFonts w:hint="eastAsia"/>
          <w:color w:val="000000" w:themeColor="text1"/>
          <w:sz w:val="20"/>
          <w:lang w:val="en-US"/>
        </w:rPr>
        <w:t xml:space="preserve">remaining open </w:t>
      </w:r>
      <w:r>
        <w:rPr>
          <w:color w:val="000000" w:themeColor="text1"/>
          <w:sz w:val="20"/>
          <w:lang w:val="en-US"/>
        </w:rPr>
        <w:t>assumptions</w:t>
      </w:r>
      <w:r>
        <w:rPr>
          <w:rFonts w:hint="eastAsia"/>
          <w:color w:val="000000" w:themeColor="text1"/>
          <w:sz w:val="20"/>
          <w:lang w:val="en-US"/>
        </w:rPr>
        <w:t>.</w:t>
      </w:r>
      <w:r w:rsidR="00B70734">
        <w:rPr>
          <w:rFonts w:hint="eastAsia"/>
          <w:color w:val="000000" w:themeColor="text1"/>
          <w:sz w:val="20"/>
          <w:lang w:val="en-US"/>
        </w:rPr>
        <w:t xml:space="preserve"> </w:t>
      </w:r>
      <w:r w:rsidR="00D67249">
        <w:rPr>
          <w:rFonts w:hint="eastAsia"/>
          <w:color w:val="000000" w:themeColor="text1"/>
          <w:sz w:val="20"/>
          <w:lang w:val="en-US"/>
        </w:rPr>
        <w:t xml:space="preserve">The following table shows our views and the justifications on our choice are also included in the table. </w:t>
      </w:r>
      <w:r w:rsidR="00B70734">
        <w:rPr>
          <w:rFonts w:hint="eastAsia"/>
          <w:color w:val="000000" w:themeColor="text1"/>
          <w:sz w:val="20"/>
          <w:lang w:val="en-US"/>
        </w:rPr>
        <w:t>For some assumptions such as ACLR, ACS, etc, which are discussed in the BS, UE aspect, we have the proposals in the corresponding contributions. Our understanding is that they should align with the agreements. So the following table doesn</w:t>
      </w:r>
      <w:r w:rsidR="00B70734">
        <w:rPr>
          <w:color w:val="000000" w:themeColor="text1"/>
          <w:sz w:val="20"/>
          <w:lang w:val="en-US"/>
        </w:rPr>
        <w:t>’</w:t>
      </w:r>
      <w:r w:rsidR="00B70734">
        <w:rPr>
          <w:rFonts w:hint="eastAsia"/>
          <w:color w:val="000000" w:themeColor="text1"/>
          <w:sz w:val="20"/>
          <w:lang w:val="en-US"/>
        </w:rPr>
        <w:t>t include these assumptions.</w:t>
      </w:r>
    </w:p>
    <w:p w:rsidR="00677DC5" w:rsidRDefault="00677DC5" w:rsidP="00677DC5">
      <w:pPr>
        <w:spacing w:before="0" w:after="120"/>
        <w:jc w:val="center"/>
        <w:rPr>
          <w:lang w:val="en-US"/>
        </w:rPr>
      </w:pPr>
      <w:r w:rsidRPr="009C52B8">
        <w:rPr>
          <w:rFonts w:hint="eastAsia"/>
          <w:lang w:val="en-US"/>
        </w:rPr>
        <w:t>Table</w:t>
      </w:r>
      <w:r>
        <w:rPr>
          <w:rFonts w:hint="eastAsia"/>
          <w:lang w:val="en-US"/>
        </w:rPr>
        <w:t xml:space="preserve"> </w:t>
      </w:r>
      <w:r w:rsidR="00D67249">
        <w:rPr>
          <w:rFonts w:hint="eastAsia"/>
          <w:lang w:val="en-US"/>
        </w:rPr>
        <w:t>1</w:t>
      </w:r>
      <w:r>
        <w:rPr>
          <w:rFonts w:hint="eastAsia"/>
          <w:lang w:val="en-US"/>
        </w:rPr>
        <w:t xml:space="preserve">: Remaining simulation </w:t>
      </w:r>
      <w:r>
        <w:rPr>
          <w:lang w:val="en-US"/>
        </w:rPr>
        <w:t>assumptions</w:t>
      </w:r>
    </w:p>
    <w:tbl>
      <w:tblPr>
        <w:tblStyle w:val="af8"/>
        <w:tblW w:w="0" w:type="auto"/>
        <w:tblLayout w:type="fixed"/>
        <w:tblLook w:val="04A0" w:firstRow="1" w:lastRow="0" w:firstColumn="1" w:lastColumn="0" w:noHBand="0" w:noVBand="1"/>
      </w:tblPr>
      <w:tblGrid>
        <w:gridCol w:w="1732"/>
        <w:gridCol w:w="5464"/>
        <w:gridCol w:w="2659"/>
      </w:tblGrid>
      <w:tr w:rsidR="00677DC5" w:rsidTr="00D67249">
        <w:tc>
          <w:tcPr>
            <w:tcW w:w="1732" w:type="dxa"/>
          </w:tcPr>
          <w:p w:rsidR="00677DC5" w:rsidRPr="009C52B8" w:rsidRDefault="00677DC5" w:rsidP="00A255D9">
            <w:pPr>
              <w:spacing w:before="0" w:after="120"/>
              <w:jc w:val="left"/>
              <w:rPr>
                <w:rFonts w:eastAsiaTheme="minorEastAsia"/>
                <w:lang w:val="en-US"/>
              </w:rPr>
            </w:pPr>
            <w:r>
              <w:rPr>
                <w:rFonts w:eastAsiaTheme="minorEastAsia" w:hint="eastAsia"/>
                <w:lang w:val="en-US"/>
              </w:rPr>
              <w:t>Parameters</w:t>
            </w:r>
          </w:p>
        </w:tc>
        <w:tc>
          <w:tcPr>
            <w:tcW w:w="5464" w:type="dxa"/>
          </w:tcPr>
          <w:p w:rsidR="00677DC5" w:rsidRPr="009C52B8" w:rsidRDefault="00677DC5" w:rsidP="00A255D9">
            <w:pPr>
              <w:spacing w:before="0" w:after="120"/>
              <w:jc w:val="left"/>
              <w:rPr>
                <w:rFonts w:eastAsiaTheme="minorEastAsia"/>
                <w:lang w:val="en-US"/>
              </w:rPr>
            </w:pPr>
            <w:r>
              <w:rPr>
                <w:rFonts w:eastAsiaTheme="minorEastAsia" w:hint="eastAsia"/>
                <w:lang w:val="en-US"/>
              </w:rPr>
              <w:t>Assumption</w:t>
            </w:r>
          </w:p>
        </w:tc>
        <w:tc>
          <w:tcPr>
            <w:tcW w:w="2659" w:type="dxa"/>
          </w:tcPr>
          <w:p w:rsidR="00677DC5" w:rsidRPr="009C52B8" w:rsidRDefault="00677DC5" w:rsidP="00A255D9">
            <w:pPr>
              <w:spacing w:before="0" w:after="120"/>
              <w:jc w:val="left"/>
              <w:rPr>
                <w:rFonts w:eastAsiaTheme="minorEastAsia"/>
                <w:lang w:val="en-US"/>
              </w:rPr>
            </w:pPr>
            <w:r>
              <w:rPr>
                <w:rFonts w:eastAsiaTheme="minorEastAsia" w:hint="eastAsia"/>
                <w:lang w:val="en-US"/>
              </w:rPr>
              <w:t>Comments</w:t>
            </w:r>
          </w:p>
        </w:tc>
      </w:tr>
      <w:tr w:rsidR="00677DC5" w:rsidTr="00D67249">
        <w:tc>
          <w:tcPr>
            <w:tcW w:w="1732" w:type="dxa"/>
          </w:tcPr>
          <w:p w:rsidR="00677DC5" w:rsidRPr="009C52B8" w:rsidRDefault="00E666D0" w:rsidP="00E666D0">
            <w:pPr>
              <w:spacing w:before="0" w:after="120"/>
              <w:ind w:right="420"/>
              <w:rPr>
                <w:rFonts w:eastAsiaTheme="minorEastAsia"/>
                <w:lang w:val="en-US"/>
              </w:rPr>
            </w:pPr>
            <w:r>
              <w:rPr>
                <w:rFonts w:eastAsiaTheme="minorEastAsia" w:hint="eastAsia"/>
                <w:lang w:val="en-US"/>
              </w:rPr>
              <w:t>Guard band</w:t>
            </w:r>
          </w:p>
        </w:tc>
        <w:tc>
          <w:tcPr>
            <w:tcW w:w="5464" w:type="dxa"/>
          </w:tcPr>
          <w:p w:rsidR="00677DC5" w:rsidRPr="00D1529B" w:rsidRDefault="00E666D0" w:rsidP="00A255D9">
            <w:pPr>
              <w:spacing w:before="0" w:after="120"/>
              <w:jc w:val="left"/>
              <w:rPr>
                <w:rFonts w:eastAsiaTheme="minorEastAsia"/>
                <w:lang w:val="en-US"/>
              </w:rPr>
            </w:pPr>
            <w:r>
              <w:rPr>
                <w:rFonts w:eastAsiaTheme="minorEastAsia" w:hint="eastAsia"/>
                <w:lang w:val="en-US"/>
              </w:rPr>
              <w:t>No guard band in co-existence simulation</w:t>
            </w:r>
          </w:p>
        </w:tc>
        <w:tc>
          <w:tcPr>
            <w:tcW w:w="2659" w:type="dxa"/>
          </w:tcPr>
          <w:p w:rsidR="00677DC5" w:rsidRPr="00E666D0" w:rsidRDefault="00E666D0" w:rsidP="00B9251C">
            <w:pPr>
              <w:spacing w:before="0" w:after="120"/>
              <w:jc w:val="left"/>
              <w:rPr>
                <w:rFonts w:eastAsiaTheme="minorEastAsia"/>
                <w:lang w:val="en-US"/>
              </w:rPr>
            </w:pPr>
            <w:r>
              <w:rPr>
                <w:rFonts w:eastAsiaTheme="minorEastAsia" w:hint="eastAsia"/>
                <w:lang w:val="en-US"/>
              </w:rPr>
              <w:t>Guard band size doesn</w:t>
            </w:r>
            <w:r>
              <w:rPr>
                <w:rFonts w:eastAsiaTheme="minorEastAsia"/>
                <w:lang w:val="en-US"/>
              </w:rPr>
              <w:t>’</w:t>
            </w:r>
            <w:r>
              <w:rPr>
                <w:rFonts w:eastAsiaTheme="minorEastAsia" w:hint="eastAsia"/>
                <w:lang w:val="en-US"/>
              </w:rPr>
              <w:t>t impact the ACIR simulation result.</w:t>
            </w:r>
            <w:r w:rsidR="00B9251C">
              <w:rPr>
                <w:rFonts w:eastAsiaTheme="minorEastAsia" w:hint="eastAsia"/>
                <w:lang w:val="en-US"/>
              </w:rPr>
              <w:t xml:space="preserve"> So it</w:t>
            </w:r>
            <w:r w:rsidR="00B9251C">
              <w:rPr>
                <w:rFonts w:eastAsiaTheme="minorEastAsia"/>
                <w:lang w:val="en-US"/>
              </w:rPr>
              <w:t>’</w:t>
            </w:r>
            <w:r w:rsidR="00B9251C">
              <w:rPr>
                <w:rFonts w:eastAsiaTheme="minorEastAsia" w:hint="eastAsia"/>
                <w:lang w:val="en-US"/>
              </w:rPr>
              <w:t>s also ok that different GB is assumed for different companies.</w:t>
            </w:r>
          </w:p>
        </w:tc>
      </w:tr>
      <w:tr w:rsidR="00677DC5" w:rsidTr="00D67249">
        <w:tc>
          <w:tcPr>
            <w:tcW w:w="1732" w:type="dxa"/>
          </w:tcPr>
          <w:p w:rsidR="00677DC5" w:rsidRPr="009C52B8" w:rsidRDefault="00E666D0" w:rsidP="00A255D9">
            <w:pPr>
              <w:spacing w:before="0" w:after="120"/>
              <w:jc w:val="left"/>
              <w:rPr>
                <w:rFonts w:eastAsiaTheme="minorEastAsia"/>
                <w:lang w:val="en-US"/>
              </w:rPr>
            </w:pPr>
            <w:r>
              <w:rPr>
                <w:rFonts w:eastAsiaTheme="minorEastAsia" w:hint="eastAsia"/>
                <w:lang w:val="en-US"/>
              </w:rPr>
              <w:t>Grid shift</w:t>
            </w:r>
          </w:p>
        </w:tc>
        <w:tc>
          <w:tcPr>
            <w:tcW w:w="5464" w:type="dxa"/>
          </w:tcPr>
          <w:p w:rsidR="00677DC5" w:rsidRPr="00E666D0" w:rsidRDefault="00E666D0" w:rsidP="00E666D0">
            <w:pPr>
              <w:spacing w:before="0" w:after="120"/>
              <w:jc w:val="left"/>
              <w:rPr>
                <w:rFonts w:eastAsiaTheme="minorEastAsia"/>
              </w:rPr>
            </w:pPr>
            <w:r>
              <w:rPr>
                <w:rFonts w:eastAsiaTheme="minorEastAsia" w:hint="eastAsia"/>
                <w:lang w:val="en-US"/>
              </w:rPr>
              <w:t xml:space="preserve">Only simulate </w:t>
            </w:r>
            <w:r w:rsidRPr="00E666D0">
              <w:rPr>
                <w:rFonts w:eastAsiaTheme="minorEastAsia" w:hint="eastAsia"/>
                <w:lang w:val="en-US"/>
              </w:rPr>
              <w:t xml:space="preserve">100% </w:t>
            </w:r>
            <w:r>
              <w:rPr>
                <w:rFonts w:eastAsiaTheme="minorEastAsia" w:hint="eastAsia"/>
                <w:lang w:val="en-US"/>
              </w:rPr>
              <w:t>before the conclusion of general part of the ISO requirement between base stations.</w:t>
            </w:r>
          </w:p>
        </w:tc>
        <w:tc>
          <w:tcPr>
            <w:tcW w:w="2659" w:type="dxa"/>
          </w:tcPr>
          <w:p w:rsidR="00677DC5" w:rsidRPr="00E666D0" w:rsidRDefault="00E666D0" w:rsidP="00B70734">
            <w:pPr>
              <w:spacing w:before="0" w:after="120"/>
              <w:jc w:val="left"/>
              <w:rPr>
                <w:rFonts w:eastAsiaTheme="minorEastAsia"/>
                <w:lang w:val="en-US"/>
              </w:rPr>
            </w:pPr>
            <w:r>
              <w:rPr>
                <w:rFonts w:eastAsiaTheme="minorEastAsia" w:hint="eastAsia"/>
                <w:lang w:val="en-US"/>
              </w:rPr>
              <w:t>The ISO between the inter</w:t>
            </w:r>
            <w:r w:rsidR="002E6525">
              <w:rPr>
                <w:rFonts w:eastAsiaTheme="minorEastAsia" w:hint="eastAsia"/>
                <w:lang w:val="en-US"/>
              </w:rPr>
              <w:t>-</w:t>
            </w:r>
            <w:r>
              <w:rPr>
                <w:rFonts w:eastAsiaTheme="minorEastAsia" w:hint="eastAsia"/>
                <w:lang w:val="en-US"/>
              </w:rPr>
              <w:t xml:space="preserve">site BS </w:t>
            </w:r>
            <w:r w:rsidR="00B70734">
              <w:rPr>
                <w:rFonts w:eastAsiaTheme="minorEastAsia" w:hint="eastAsia"/>
                <w:lang w:val="en-US"/>
              </w:rPr>
              <w:t>may be large.</w:t>
            </w:r>
          </w:p>
        </w:tc>
      </w:tr>
      <w:tr w:rsidR="00677DC5" w:rsidTr="00D67249">
        <w:tc>
          <w:tcPr>
            <w:tcW w:w="1732" w:type="dxa"/>
          </w:tcPr>
          <w:p w:rsidR="00677DC5" w:rsidRPr="009C52B8" w:rsidRDefault="00E666D0" w:rsidP="00A255D9">
            <w:pPr>
              <w:spacing w:before="0" w:after="120"/>
              <w:jc w:val="left"/>
              <w:rPr>
                <w:rFonts w:eastAsiaTheme="minorEastAsia"/>
                <w:lang w:val="en-US"/>
              </w:rPr>
            </w:pPr>
            <w:r>
              <w:rPr>
                <w:lang w:val="en-US"/>
              </w:rPr>
              <w:t>UE dropping methods in simulation</w:t>
            </w:r>
          </w:p>
        </w:tc>
        <w:tc>
          <w:tcPr>
            <w:tcW w:w="5464" w:type="dxa"/>
          </w:tcPr>
          <w:p w:rsidR="00677DC5" w:rsidRPr="002E6525" w:rsidRDefault="008550F9" w:rsidP="002E6525">
            <w:pPr>
              <w:spacing w:before="0" w:after="120"/>
              <w:jc w:val="left"/>
              <w:rPr>
                <w:rFonts w:eastAsia="宋体"/>
                <w:sz w:val="20"/>
                <w:szCs w:val="21"/>
              </w:rPr>
            </w:pPr>
            <w:r>
              <w:rPr>
                <w:rFonts w:eastAsiaTheme="minorEastAsia" w:hint="eastAsia"/>
                <w:lang w:val="en-US"/>
              </w:rPr>
              <w:t>Random dropping</w:t>
            </w:r>
          </w:p>
        </w:tc>
        <w:tc>
          <w:tcPr>
            <w:tcW w:w="2659" w:type="dxa"/>
          </w:tcPr>
          <w:p w:rsidR="00677DC5" w:rsidRPr="002E6525" w:rsidRDefault="00677DC5" w:rsidP="00A255D9">
            <w:pPr>
              <w:spacing w:before="0" w:after="120"/>
              <w:jc w:val="left"/>
              <w:rPr>
                <w:rFonts w:eastAsiaTheme="minorEastAsia"/>
              </w:rPr>
            </w:pPr>
          </w:p>
        </w:tc>
      </w:tr>
      <w:tr w:rsidR="00677DC5" w:rsidTr="00D67249">
        <w:tc>
          <w:tcPr>
            <w:tcW w:w="1732" w:type="dxa"/>
          </w:tcPr>
          <w:p w:rsidR="00677DC5" w:rsidRPr="00D1529B" w:rsidRDefault="002E6525" w:rsidP="00A255D9">
            <w:pPr>
              <w:spacing w:before="0" w:after="120"/>
              <w:jc w:val="left"/>
              <w:rPr>
                <w:rFonts w:eastAsiaTheme="minorEastAsia"/>
                <w:lang w:val="en-US"/>
              </w:rPr>
            </w:pPr>
            <w:r>
              <w:rPr>
                <w:lang w:val="en-US"/>
              </w:rPr>
              <w:t>Cluster-based UE dropping methodology</w:t>
            </w:r>
          </w:p>
        </w:tc>
        <w:tc>
          <w:tcPr>
            <w:tcW w:w="5464" w:type="dxa"/>
          </w:tcPr>
          <w:p w:rsidR="00677DC5" w:rsidRPr="00D67249" w:rsidRDefault="008550F9" w:rsidP="008550F9">
            <w:pPr>
              <w:spacing w:before="0" w:after="120"/>
              <w:jc w:val="left"/>
              <w:rPr>
                <w:rFonts w:eastAsiaTheme="minorEastAsia"/>
              </w:rPr>
            </w:pPr>
            <w:r>
              <w:rPr>
                <w:rFonts w:eastAsiaTheme="minorEastAsia" w:hint="eastAsia"/>
                <w:lang w:val="en-US"/>
              </w:rPr>
              <w:t xml:space="preserve">If cluster is </w:t>
            </w:r>
            <w:r>
              <w:rPr>
                <w:rFonts w:eastAsiaTheme="minorEastAsia"/>
                <w:lang w:val="en-US"/>
              </w:rPr>
              <w:t>adopted</w:t>
            </w:r>
            <w:r>
              <w:rPr>
                <w:rFonts w:eastAsiaTheme="minorEastAsia" w:hint="eastAsia"/>
                <w:lang w:val="en-US"/>
              </w:rPr>
              <w:t xml:space="preserve"> by the group, then c</w:t>
            </w:r>
            <w:r w:rsidR="00D67249" w:rsidRPr="00D67249">
              <w:rPr>
                <w:rFonts w:eastAsiaTheme="minorEastAsia" w:hint="eastAsia"/>
                <w:lang w:val="en-US"/>
              </w:rPr>
              <w:t>onsider RAN1 methodology</w:t>
            </w:r>
          </w:p>
        </w:tc>
        <w:tc>
          <w:tcPr>
            <w:tcW w:w="2659" w:type="dxa"/>
          </w:tcPr>
          <w:p w:rsidR="00677DC5" w:rsidRPr="00D1529B" w:rsidRDefault="00677DC5" w:rsidP="00A255D9">
            <w:pPr>
              <w:spacing w:before="0" w:after="120"/>
              <w:jc w:val="left"/>
              <w:rPr>
                <w:rFonts w:eastAsiaTheme="minorEastAsia"/>
                <w:lang w:val="en-US"/>
              </w:rPr>
            </w:pPr>
          </w:p>
        </w:tc>
      </w:tr>
      <w:tr w:rsidR="00677DC5" w:rsidTr="00D67249">
        <w:tc>
          <w:tcPr>
            <w:tcW w:w="1732" w:type="dxa"/>
          </w:tcPr>
          <w:p w:rsidR="00677DC5" w:rsidRPr="009C52B8" w:rsidRDefault="00B70734" w:rsidP="00A255D9">
            <w:pPr>
              <w:spacing w:before="0" w:after="120"/>
              <w:jc w:val="left"/>
              <w:rPr>
                <w:rFonts w:eastAsiaTheme="minorEastAsia"/>
                <w:lang w:val="en-US"/>
              </w:rPr>
            </w:pPr>
            <w:r>
              <w:rPr>
                <w:szCs w:val="24"/>
              </w:rPr>
              <w:t>LoS probability for gNB-gNB case</w:t>
            </w:r>
          </w:p>
        </w:tc>
        <w:tc>
          <w:tcPr>
            <w:tcW w:w="5464" w:type="dxa"/>
          </w:tcPr>
          <w:p w:rsidR="00397F60" w:rsidRDefault="00397F60" w:rsidP="00397F60">
            <w:pPr>
              <w:pStyle w:val="afa"/>
              <w:widowControl/>
              <w:numPr>
                <w:ilvl w:val="0"/>
                <w:numId w:val="25"/>
              </w:numPr>
              <w:spacing w:before="0" w:after="120" w:line="240" w:lineRule="auto"/>
              <w:ind w:firstLineChars="0"/>
              <w:jc w:val="left"/>
              <w:rPr>
                <w:rFonts w:cs="Times"/>
                <w:szCs w:val="20"/>
              </w:rPr>
            </w:pPr>
            <w:r>
              <w:rPr>
                <w:rFonts w:cs="Times"/>
                <w:szCs w:val="20"/>
              </w:rPr>
              <w:t>For Macro-gNB-to-Macro-gNB case</w:t>
            </w:r>
          </w:p>
          <w:p w:rsidR="00397F60" w:rsidRDefault="00397F60" w:rsidP="00397F60">
            <w:pPr>
              <w:pStyle w:val="afa"/>
              <w:widowControl/>
              <w:numPr>
                <w:ilvl w:val="1"/>
                <w:numId w:val="25"/>
              </w:numPr>
              <w:spacing w:before="0" w:after="120" w:line="240" w:lineRule="auto"/>
              <w:ind w:firstLineChars="0"/>
              <w:jc w:val="left"/>
              <w:rPr>
                <w:rFonts w:cs="Times"/>
                <w:szCs w:val="20"/>
              </w:rPr>
            </w:pPr>
            <w:r>
              <w:rPr>
                <w:rFonts w:cs="Times"/>
                <w:szCs w:val="20"/>
              </w:rPr>
              <w:t>If the 2D distance between two Macro gNBs are less than or equal to the ISD (200m for Dense Urban, and 500m for Urban Macro), set the LOS probability to X; Otherwise, reuse</w:t>
            </w:r>
            <w:r>
              <w:rPr>
                <w:rFonts w:cs="Times"/>
                <w:iCs/>
                <w:szCs w:val="20"/>
              </w:rPr>
              <w:t xml:space="preserve"> gNB-to-UE</w:t>
            </w:r>
            <w:r>
              <w:rPr>
                <w:rFonts w:cs="Times"/>
                <w:szCs w:val="20"/>
              </w:rPr>
              <w:t xml:space="preserve"> </w:t>
            </w:r>
            <w:r>
              <w:rPr>
                <w:rFonts w:cs="Times"/>
                <w:iCs/>
                <w:szCs w:val="20"/>
              </w:rPr>
              <w:t>LOS probability equation in TR 38.901</w:t>
            </w:r>
            <w:r>
              <w:rPr>
                <w:rFonts w:cs="Times"/>
                <w:szCs w:val="20"/>
              </w:rPr>
              <w:t>.</w:t>
            </w:r>
          </w:p>
          <w:p w:rsidR="00397F60" w:rsidRDefault="00397F60" w:rsidP="00397F60">
            <w:pPr>
              <w:pStyle w:val="afa"/>
              <w:widowControl/>
              <w:numPr>
                <w:ilvl w:val="2"/>
                <w:numId w:val="25"/>
              </w:numPr>
              <w:spacing w:before="0" w:after="120" w:line="240" w:lineRule="auto"/>
              <w:ind w:firstLineChars="0"/>
              <w:jc w:val="left"/>
              <w:rPr>
                <w:rFonts w:cs="Times"/>
                <w:szCs w:val="20"/>
              </w:rPr>
            </w:pPr>
            <w:r>
              <w:rPr>
                <w:rFonts w:cs="Times"/>
                <w:szCs w:val="20"/>
              </w:rPr>
              <w:t>X = 0.75</w:t>
            </w:r>
          </w:p>
          <w:p w:rsidR="00677DC5" w:rsidRPr="00397F60" w:rsidRDefault="00397F60" w:rsidP="00397F60">
            <w:pPr>
              <w:pStyle w:val="afa"/>
              <w:widowControl/>
              <w:numPr>
                <w:ilvl w:val="0"/>
                <w:numId w:val="25"/>
              </w:numPr>
              <w:spacing w:before="0" w:after="120" w:line="240" w:lineRule="auto"/>
              <w:ind w:firstLineChars="0"/>
              <w:jc w:val="left"/>
            </w:pPr>
            <w:r>
              <w:rPr>
                <w:rFonts w:cs="Times"/>
                <w:szCs w:val="20"/>
              </w:rPr>
              <w:t>For other cases, reuse</w:t>
            </w:r>
            <w:r>
              <w:rPr>
                <w:rFonts w:cs="Times"/>
                <w:iCs/>
                <w:szCs w:val="20"/>
              </w:rPr>
              <w:t xml:space="preserve"> gNB-to-UE</w:t>
            </w:r>
            <w:r>
              <w:rPr>
                <w:rFonts w:cs="Times"/>
                <w:szCs w:val="20"/>
              </w:rPr>
              <w:t xml:space="preserve"> </w:t>
            </w:r>
            <w:r>
              <w:rPr>
                <w:rFonts w:cs="Times"/>
                <w:iCs/>
                <w:szCs w:val="20"/>
              </w:rPr>
              <w:t>LOS probability equation in TR 38.901</w:t>
            </w:r>
            <w:r>
              <w:rPr>
                <w:rFonts w:cs="Times"/>
                <w:szCs w:val="20"/>
              </w:rPr>
              <w:t>.</w:t>
            </w:r>
          </w:p>
        </w:tc>
        <w:tc>
          <w:tcPr>
            <w:tcW w:w="2659" w:type="dxa"/>
          </w:tcPr>
          <w:p w:rsidR="00677DC5" w:rsidRPr="00D67249" w:rsidRDefault="00D67249" w:rsidP="00A255D9">
            <w:pPr>
              <w:spacing w:before="0" w:after="120"/>
              <w:jc w:val="left"/>
              <w:rPr>
                <w:rFonts w:eastAsiaTheme="minorEastAsia"/>
                <w:lang w:val="en-US"/>
              </w:rPr>
            </w:pPr>
            <w:r>
              <w:rPr>
                <w:rFonts w:eastAsiaTheme="minorEastAsia" w:hint="eastAsia"/>
                <w:lang w:val="en-US"/>
              </w:rPr>
              <w:t>Align with RAN1 agreement</w:t>
            </w:r>
          </w:p>
        </w:tc>
      </w:tr>
      <w:tr w:rsidR="00677DC5" w:rsidTr="00D67249">
        <w:tc>
          <w:tcPr>
            <w:tcW w:w="1732" w:type="dxa"/>
          </w:tcPr>
          <w:p w:rsidR="00677DC5" w:rsidRPr="009C52B8" w:rsidRDefault="00B70734" w:rsidP="00A255D9">
            <w:pPr>
              <w:spacing w:before="0" w:after="120"/>
              <w:jc w:val="left"/>
              <w:rPr>
                <w:rFonts w:eastAsiaTheme="minorEastAsia"/>
                <w:lang w:val="en-US"/>
              </w:rPr>
            </w:pPr>
            <w:r>
              <w:rPr>
                <w:szCs w:val="24"/>
              </w:rPr>
              <w:t>SBFD antenna configuration</w:t>
            </w:r>
          </w:p>
        </w:tc>
        <w:tc>
          <w:tcPr>
            <w:tcW w:w="5464" w:type="dxa"/>
          </w:tcPr>
          <w:p w:rsidR="00677DC5" w:rsidRPr="00D1529B" w:rsidRDefault="00B70734" w:rsidP="00A255D9">
            <w:pPr>
              <w:spacing w:before="0" w:after="120"/>
              <w:jc w:val="left"/>
              <w:rPr>
                <w:rFonts w:eastAsiaTheme="minorEastAsia"/>
                <w:lang w:val="en-US"/>
              </w:rPr>
            </w:pPr>
            <w:r>
              <w:rPr>
                <w:szCs w:val="24"/>
              </w:rPr>
              <w:t>SBFD antenna configuration 2: The total number of antenna elements of the antenna array for SBFD is two times of the total number of antenna elements of the antenna array for legacy TDD.</w:t>
            </w:r>
          </w:p>
        </w:tc>
        <w:tc>
          <w:tcPr>
            <w:tcW w:w="2659" w:type="dxa"/>
          </w:tcPr>
          <w:p w:rsidR="00677DC5" w:rsidRDefault="00D67249" w:rsidP="00A255D9">
            <w:pPr>
              <w:spacing w:before="0" w:after="120"/>
              <w:jc w:val="left"/>
              <w:rPr>
                <w:rFonts w:eastAsiaTheme="minorEastAsia"/>
                <w:lang w:val="en-US"/>
              </w:rPr>
            </w:pPr>
            <w:r>
              <w:rPr>
                <w:rFonts w:eastAsiaTheme="minorEastAsia" w:hint="eastAsia"/>
                <w:lang w:val="en-US"/>
              </w:rPr>
              <w:t>This is a more practical solution if considering the coverage.</w:t>
            </w:r>
          </w:p>
          <w:p w:rsidR="00D67249" w:rsidRPr="00D67249" w:rsidRDefault="00D67249" w:rsidP="00A255D9">
            <w:pPr>
              <w:spacing w:before="0" w:after="120"/>
              <w:jc w:val="left"/>
              <w:rPr>
                <w:rFonts w:eastAsiaTheme="minorEastAsia"/>
                <w:lang w:val="en-US"/>
              </w:rPr>
            </w:pPr>
            <w:r>
              <w:rPr>
                <w:rFonts w:eastAsiaTheme="minorEastAsia" w:hint="eastAsia"/>
                <w:lang w:val="en-US"/>
              </w:rPr>
              <w:t>It</w:t>
            </w:r>
            <w:r>
              <w:rPr>
                <w:rFonts w:eastAsiaTheme="minorEastAsia"/>
                <w:lang w:val="en-US"/>
              </w:rPr>
              <w:t>’</w:t>
            </w:r>
            <w:r>
              <w:rPr>
                <w:rFonts w:eastAsiaTheme="minorEastAsia" w:hint="eastAsia"/>
                <w:lang w:val="en-US"/>
              </w:rPr>
              <w:t>s better to choose one configuration at least for the calibration purpose.</w:t>
            </w:r>
          </w:p>
        </w:tc>
      </w:tr>
    </w:tbl>
    <w:p w:rsidR="00D1529B" w:rsidRPr="00677DC5" w:rsidRDefault="00D1529B" w:rsidP="00595D4F">
      <w:pPr>
        <w:spacing w:before="0" w:after="120"/>
        <w:jc w:val="left"/>
      </w:pP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920355" w:rsidRDefault="00D67249" w:rsidP="00427ECC">
      <w:pPr>
        <w:spacing w:before="0" w:after="120"/>
        <w:jc w:val="left"/>
      </w:pPr>
      <w:r w:rsidRPr="00D67249">
        <w:rPr>
          <w:rFonts w:hint="eastAsia"/>
        </w:rPr>
        <w:t xml:space="preserve">This contribution provides our consideration of the remaining open assumptions of the </w:t>
      </w:r>
      <w:r w:rsidRPr="00D67249">
        <w:t>adjacent</w:t>
      </w:r>
      <w:r w:rsidRPr="00D67249">
        <w:rPr>
          <w:rFonts w:hint="eastAsia"/>
        </w:rPr>
        <w:t xml:space="preserve"> </w:t>
      </w:r>
      <w:r>
        <w:rPr>
          <w:rFonts w:hint="eastAsia"/>
        </w:rPr>
        <w:t xml:space="preserve">channel co-existence. For co-channel </w:t>
      </w:r>
      <w:r>
        <w:t>interference</w:t>
      </w:r>
      <w:r>
        <w:rPr>
          <w:rFonts w:hint="eastAsia"/>
        </w:rPr>
        <w:t xml:space="preserve">, we have the </w:t>
      </w:r>
      <w:r>
        <w:t>following</w:t>
      </w:r>
      <w:r>
        <w:rPr>
          <w:rFonts w:hint="eastAsia"/>
        </w:rPr>
        <w:t xml:space="preserve"> observations and proposals.</w:t>
      </w:r>
    </w:p>
    <w:p w:rsidR="00D67249" w:rsidRPr="00296898" w:rsidRDefault="00D67249" w:rsidP="00D67249">
      <w:pPr>
        <w:spacing w:before="0" w:after="120"/>
        <w:jc w:val="left"/>
        <w:rPr>
          <w:b/>
        </w:rPr>
      </w:pPr>
      <w:r>
        <w:rPr>
          <w:rFonts w:hint="eastAsia"/>
          <w:b/>
        </w:rPr>
        <w:t>Observation 1</w:t>
      </w:r>
      <w:r w:rsidRPr="00296898">
        <w:rPr>
          <w:rFonts w:hint="eastAsia"/>
          <w:b/>
        </w:rPr>
        <w:t>: SBFD co-channel interference doesn</w:t>
      </w:r>
      <w:r w:rsidRPr="00296898">
        <w:rPr>
          <w:b/>
        </w:rPr>
        <w:t>’</w:t>
      </w:r>
      <w:r w:rsidRPr="00296898">
        <w:rPr>
          <w:rFonts w:hint="eastAsia"/>
          <w:b/>
        </w:rPr>
        <w:t>t need to be added in the simulation when legacy TDD is the victim.</w:t>
      </w:r>
    </w:p>
    <w:p w:rsidR="00D67249" w:rsidRPr="00055414" w:rsidRDefault="00D67249" w:rsidP="00D67249">
      <w:pPr>
        <w:spacing w:before="0" w:after="120"/>
        <w:jc w:val="left"/>
        <w:rPr>
          <w:b/>
        </w:rPr>
      </w:pPr>
      <w:r w:rsidRPr="00055414">
        <w:rPr>
          <w:rFonts w:hint="eastAsia"/>
          <w:b/>
        </w:rPr>
        <w:t>Observation 2: BS inter-</w:t>
      </w:r>
      <w:r w:rsidR="0019463B">
        <w:rPr>
          <w:rFonts w:hint="eastAsia"/>
          <w:b/>
        </w:rPr>
        <w:t>sub</w:t>
      </w:r>
      <w:bookmarkStart w:id="1" w:name="_GoBack"/>
      <w:bookmarkEnd w:id="1"/>
      <w:r w:rsidRPr="00055414">
        <w:rPr>
          <w:rFonts w:hint="eastAsia"/>
          <w:b/>
        </w:rPr>
        <w:t xml:space="preserve">band ACLR/ACS performance should be assumed the same with </w:t>
      </w:r>
      <w:r w:rsidRPr="00055414">
        <w:rPr>
          <w:b/>
        </w:rPr>
        <w:t>adjacent</w:t>
      </w:r>
      <w:r w:rsidRPr="00055414">
        <w:rPr>
          <w:rFonts w:hint="eastAsia"/>
          <w:b/>
        </w:rPr>
        <w:t xml:space="preserve"> channel ACLR/ACS in the </w:t>
      </w:r>
      <w:r w:rsidRPr="00055414">
        <w:rPr>
          <w:b/>
        </w:rPr>
        <w:t>adjacent</w:t>
      </w:r>
      <w:r w:rsidRPr="00055414">
        <w:rPr>
          <w:rFonts w:hint="eastAsia"/>
          <w:b/>
        </w:rPr>
        <w:t xml:space="preserve"> co-existence simulation if flat model is used.</w:t>
      </w:r>
    </w:p>
    <w:p w:rsidR="00D67249" w:rsidRPr="00B70734" w:rsidRDefault="00D67249" w:rsidP="00D67249">
      <w:pPr>
        <w:spacing w:before="0" w:after="120"/>
        <w:jc w:val="left"/>
        <w:rPr>
          <w:b/>
        </w:rPr>
      </w:pPr>
      <w:r w:rsidRPr="00B70734">
        <w:rPr>
          <w:rFonts w:hint="eastAsia"/>
          <w:b/>
        </w:rPr>
        <w:t>Observation</w:t>
      </w:r>
      <w:r>
        <w:rPr>
          <w:rFonts w:hint="eastAsia"/>
          <w:b/>
        </w:rPr>
        <w:t xml:space="preserve"> 3</w:t>
      </w:r>
      <w:r w:rsidRPr="00B70734">
        <w:rPr>
          <w:rFonts w:hint="eastAsia"/>
          <w:b/>
        </w:rPr>
        <w:t xml:space="preserve">: When the victim noise floor is raised the requirement for the </w:t>
      </w:r>
      <w:r w:rsidRPr="00B70734">
        <w:rPr>
          <w:b/>
        </w:rPr>
        <w:t>adjacent</w:t>
      </w:r>
      <w:r w:rsidRPr="00B70734">
        <w:rPr>
          <w:rFonts w:hint="eastAsia"/>
          <w:b/>
        </w:rPr>
        <w:t xml:space="preserve"> channel noise </w:t>
      </w:r>
      <w:r>
        <w:rPr>
          <w:rFonts w:hint="eastAsia"/>
          <w:b/>
        </w:rPr>
        <w:t>is</w:t>
      </w:r>
      <w:r w:rsidRPr="00B70734">
        <w:rPr>
          <w:rFonts w:hint="eastAsia"/>
          <w:b/>
        </w:rPr>
        <w:t xml:space="preserve"> more relaxed.</w:t>
      </w:r>
    </w:p>
    <w:p w:rsidR="00D67249" w:rsidRPr="00B70734" w:rsidRDefault="00D67249" w:rsidP="00D67249">
      <w:pPr>
        <w:spacing w:before="0" w:after="120"/>
        <w:jc w:val="left"/>
      </w:pPr>
      <w:r w:rsidRPr="00055414">
        <w:rPr>
          <w:rFonts w:hint="eastAsia"/>
          <w:b/>
        </w:rPr>
        <w:t xml:space="preserve">Proposal: Decouple the co-channel inter-site inter-subband interference with </w:t>
      </w:r>
      <w:r w:rsidRPr="00055414">
        <w:rPr>
          <w:b/>
        </w:rPr>
        <w:t>adjacent</w:t>
      </w:r>
      <w:r w:rsidRPr="00055414">
        <w:rPr>
          <w:rFonts w:hint="eastAsia"/>
          <w:b/>
        </w:rPr>
        <w:t xml:space="preserve"> channel co-existence </w:t>
      </w:r>
      <w:r w:rsidRPr="00055414">
        <w:rPr>
          <w:b/>
        </w:rPr>
        <w:t>simulation</w:t>
      </w:r>
      <w:r w:rsidRPr="00055414">
        <w:rPr>
          <w:rFonts w:hint="eastAsia"/>
          <w:b/>
        </w:rPr>
        <w:t xml:space="preserve">, i.e. no co-channel inter-site inter-subband interference is included in the </w:t>
      </w:r>
      <w:r w:rsidRPr="00055414">
        <w:rPr>
          <w:b/>
        </w:rPr>
        <w:t>adjacent</w:t>
      </w:r>
      <w:r w:rsidRPr="00055414">
        <w:rPr>
          <w:rFonts w:hint="eastAsia"/>
          <w:b/>
        </w:rPr>
        <w:t xml:space="preserve"> channel co-existence simulation.</w:t>
      </w:r>
    </w:p>
    <w:p w:rsidR="00D67249" w:rsidRPr="00D67249" w:rsidRDefault="00D67249" w:rsidP="00427ECC">
      <w:pPr>
        <w:spacing w:before="0" w:after="120"/>
        <w:jc w:val="left"/>
      </w:pPr>
      <w:r>
        <w:rPr>
          <w:rFonts w:hint="eastAsia"/>
        </w:rPr>
        <w:t xml:space="preserve">The remaining open assumptions are </w:t>
      </w:r>
      <w:r>
        <w:t>summarized</w:t>
      </w:r>
      <w:r>
        <w:rPr>
          <w:rFonts w:hint="eastAsia"/>
        </w:rPr>
        <w:t xml:space="preserve"> in Table 1.</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4806A1" w:rsidRDefault="007E1C02" w:rsidP="00B86C99">
      <w:pPr>
        <w:spacing w:before="0" w:after="120"/>
        <w:jc w:val="left"/>
      </w:pPr>
      <w:r w:rsidRPr="00DB34A7">
        <w:rPr>
          <w:rFonts w:hint="eastAsia"/>
        </w:rPr>
        <w:t>[1]</w:t>
      </w:r>
      <w:r w:rsidR="00634085" w:rsidRPr="00DB34A7">
        <w:rPr>
          <w:rFonts w:hint="eastAsia"/>
        </w:rPr>
        <w:t xml:space="preserve"> </w:t>
      </w:r>
      <w:r w:rsidR="002E4A3D" w:rsidRPr="00B86C99">
        <w:t>R4-2217466</w:t>
      </w:r>
      <w:r w:rsidR="00B86C99">
        <w:rPr>
          <w:rFonts w:hint="eastAsia"/>
        </w:rPr>
        <w:t xml:space="preserve">, </w:t>
      </w:r>
      <w:r w:rsidR="00B86C99">
        <w:t>“</w:t>
      </w:r>
      <w:r w:rsidR="002E4A3D" w:rsidRPr="00B86C99">
        <w:t>WF for adjacent channel co-existence evaluation of SBFD operation</w:t>
      </w:r>
      <w:r w:rsidR="00B86C99">
        <w:t>”</w:t>
      </w:r>
      <w:r w:rsidR="00B86C99">
        <w:rPr>
          <w:rFonts w:hint="eastAsia"/>
        </w:rPr>
        <w:t xml:space="preserve">, </w:t>
      </w:r>
      <w:r w:rsidR="00B86C99" w:rsidRPr="00EC5838">
        <w:t>CMCC</w:t>
      </w:r>
    </w:p>
    <w:p w:rsidR="001A3C2A" w:rsidRDefault="001A3C2A" w:rsidP="001A3C2A">
      <w:pPr>
        <w:tabs>
          <w:tab w:val="num" w:pos="720"/>
        </w:tabs>
        <w:spacing w:before="0" w:after="120"/>
        <w:jc w:val="left"/>
      </w:pPr>
      <w:r>
        <w:rPr>
          <w:rFonts w:hint="eastAsia"/>
        </w:rPr>
        <w:t xml:space="preserve">[2] </w:t>
      </w:r>
      <w:r w:rsidR="002E4A3D" w:rsidRPr="001A3C2A">
        <w:t>R4-2217513</w:t>
      </w:r>
      <w:r>
        <w:rPr>
          <w:rFonts w:hint="eastAsia"/>
        </w:rPr>
        <w:t xml:space="preserve">, </w:t>
      </w:r>
      <w:r>
        <w:t>“</w:t>
      </w:r>
      <w:r w:rsidR="002E4A3D" w:rsidRPr="001A3C2A">
        <w:t>WF on SBFD feasibility study and RF impact: UE aspect</w:t>
      </w:r>
      <w:r>
        <w:t>”</w:t>
      </w:r>
      <w:r>
        <w:rPr>
          <w:rFonts w:hint="eastAsia"/>
        </w:rPr>
        <w:t>, Qualcomm</w:t>
      </w:r>
    </w:p>
    <w:p w:rsidR="00060DA1" w:rsidRPr="00060DA1" w:rsidRDefault="00060DA1" w:rsidP="001A3C2A">
      <w:pPr>
        <w:tabs>
          <w:tab w:val="num" w:pos="720"/>
        </w:tabs>
        <w:spacing w:before="0" w:after="120"/>
        <w:jc w:val="left"/>
        <w:rPr>
          <w:lang w:val="en-US"/>
        </w:rPr>
      </w:pPr>
      <w:r>
        <w:rPr>
          <w:rFonts w:hint="eastAsia"/>
        </w:rPr>
        <w:t xml:space="preserve">[3] </w:t>
      </w:r>
      <w:r w:rsidR="00642904" w:rsidRPr="00060DA1">
        <w:t>R4-2217464</w:t>
      </w:r>
      <w:r>
        <w:rPr>
          <w:rFonts w:hint="eastAsia"/>
        </w:rPr>
        <w:t xml:space="preserve">, </w:t>
      </w:r>
      <w:r>
        <w:t>“</w:t>
      </w:r>
      <w:r w:rsidR="00642904" w:rsidRPr="00060DA1">
        <w:t>WF on SBFD feasibility study and RF impact: BS aspect</w:t>
      </w:r>
      <w:r>
        <w:t>”</w:t>
      </w:r>
      <w:r>
        <w:rPr>
          <w:rFonts w:hint="eastAsia"/>
        </w:rPr>
        <w:t>, Samsung</w:t>
      </w:r>
    </w:p>
    <w:sectPr w:rsidR="00060DA1" w:rsidRPr="00060DA1"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ADC" w:rsidRDefault="00720ADC" w:rsidP="0095591C">
      <w:pPr>
        <w:spacing w:after="60"/>
        <w:ind w:left="210"/>
      </w:pPr>
      <w:r>
        <w:separator/>
      </w:r>
    </w:p>
  </w:endnote>
  <w:endnote w:type="continuationSeparator" w:id="0">
    <w:p w:rsidR="00720ADC" w:rsidRDefault="00720AD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20ADC">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ADC" w:rsidRDefault="00720ADC" w:rsidP="0095591C">
      <w:pPr>
        <w:spacing w:after="60"/>
        <w:ind w:left="210"/>
      </w:pPr>
      <w:r>
        <w:separator/>
      </w:r>
    </w:p>
  </w:footnote>
  <w:footnote w:type="continuationSeparator" w:id="0">
    <w:p w:rsidR="00720ADC" w:rsidRDefault="00720ADC"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
  </w:num>
  <w:num w:numId="4">
    <w:abstractNumId w:val="12"/>
  </w:num>
  <w:num w:numId="5">
    <w:abstractNumId w:val="4"/>
  </w:num>
  <w:num w:numId="6">
    <w:abstractNumId w:val="21"/>
  </w:num>
  <w:num w:numId="7">
    <w:abstractNumId w:val="2"/>
  </w:num>
  <w:num w:numId="8">
    <w:abstractNumId w:val="13"/>
  </w:num>
  <w:num w:numId="9">
    <w:abstractNumId w:val="8"/>
  </w:num>
  <w:num w:numId="10">
    <w:abstractNumId w:val="20"/>
  </w:num>
  <w:num w:numId="11">
    <w:abstractNumId w:val="22"/>
  </w:num>
  <w:num w:numId="12">
    <w:abstractNumId w:val="23"/>
  </w:num>
  <w:num w:numId="13">
    <w:abstractNumId w:val="9"/>
  </w:num>
  <w:num w:numId="14">
    <w:abstractNumId w:val="11"/>
  </w:num>
  <w:num w:numId="15">
    <w:abstractNumId w:val="7"/>
  </w:num>
  <w:num w:numId="16">
    <w:abstractNumId w:val="18"/>
  </w:num>
  <w:num w:numId="17">
    <w:abstractNumId w:val="0"/>
  </w:num>
  <w:num w:numId="18">
    <w:abstractNumId w:val="19"/>
  </w:num>
  <w:num w:numId="19">
    <w:abstractNumId w:val="14"/>
  </w:num>
  <w:num w:numId="20">
    <w:abstractNumId w:val="16"/>
  </w:num>
  <w:num w:numId="21">
    <w:abstractNumId w:val="5"/>
  </w:num>
  <w:num w:numId="22">
    <w:abstractNumId w:val="17"/>
  </w:num>
  <w:num w:numId="23">
    <w:abstractNumId w:val="10"/>
  </w:num>
  <w:num w:numId="24">
    <w:abstractNumId w:val="16"/>
  </w:num>
  <w:num w:numId="25">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534"/>
    <w:rsid w:val="000F1894"/>
    <w:rsid w:val="000F2E97"/>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27BA"/>
    <w:rsid w:val="00193417"/>
    <w:rsid w:val="001938EF"/>
    <w:rsid w:val="0019463B"/>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0ADC"/>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98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1A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22C"/>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4DC3"/>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DDFDC-57F0-4128-8676-AEACD1D6B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1242</TotalTime>
  <Pages>3</Pages>
  <Words>977</Words>
  <Characters>5569</Characters>
  <Application>Microsoft Office Word</Application>
  <DocSecurity>0</DocSecurity>
  <Lines>46</Lines>
  <Paragraphs>13</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RAN5 Discussion paper </vt:lpstr>
      <vt:lpstr>Toulouse, France, November 14 – November 18, 2022</vt:lpstr>
      <vt:lpstr>Background</vt:lpstr>
      <vt:lpstr>Discussion</vt:lpstr>
      <vt:lpstr>    Handling of co-channel inter-site inter-subband interference</vt:lpstr>
      <vt:lpstr>    Remaining simulation assumptions</vt:lpstr>
      <vt:lpstr>Summary</vt:lpstr>
      <vt:lpstr>Reference</vt:lpstr>
    </vt:vector>
  </TitlesOfParts>
  <Company>CATT</Company>
  <LinksUpToDate>false</LinksUpToDate>
  <CharactersWithSpaces>6533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49</cp:revision>
  <cp:lastPrinted>2007-04-24T00:59:00Z</cp:lastPrinted>
  <dcterms:created xsi:type="dcterms:W3CDTF">2022-09-27T02:35:00Z</dcterms:created>
  <dcterms:modified xsi:type="dcterms:W3CDTF">2022-11-07T17:20:00Z</dcterms:modified>
</cp:coreProperties>
</file>